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D0FC1" w14:textId="77777777" w:rsidR="007B3312" w:rsidRPr="009E0BC0" w:rsidRDefault="003D215C">
      <w:pPr>
        <w:spacing w:after="0" w:line="240" w:lineRule="auto"/>
        <w:rPr>
          <w:rFonts w:cstheme="minorHAnsi"/>
          <w:sz w:val="28"/>
          <w:szCs w:val="28"/>
        </w:rPr>
      </w:pPr>
      <w:r w:rsidRPr="009E0BC0">
        <w:rPr>
          <w:rFonts w:cstheme="minorHAnsi"/>
          <w:b/>
          <w:color w:val="8EAADB" w:themeColor="accent1" w:themeTint="99"/>
          <w:sz w:val="28"/>
          <w:szCs w:val="28"/>
        </w:rPr>
        <w:t>PROXECTO PILOTO DE OPTIMIZACIÓN DA FERTILIZACIÓN DO VIÑEDO. FERTISOST (FEADER AC20</w:t>
      </w:r>
      <w:r w:rsidR="00F40391">
        <w:rPr>
          <w:rFonts w:cstheme="minorHAnsi"/>
          <w:b/>
          <w:color w:val="8EAADB" w:themeColor="accent1" w:themeTint="99"/>
          <w:sz w:val="28"/>
          <w:szCs w:val="28"/>
        </w:rPr>
        <w:t>2</w:t>
      </w:r>
      <w:r w:rsidRPr="009E0BC0">
        <w:rPr>
          <w:rFonts w:cstheme="minorHAnsi"/>
          <w:b/>
          <w:color w:val="8EAADB" w:themeColor="accent1" w:themeTint="99"/>
          <w:sz w:val="28"/>
          <w:szCs w:val="28"/>
        </w:rPr>
        <w:t>1E-01)</w:t>
      </w:r>
    </w:p>
    <w:p w14:paraId="5AC208C6" w14:textId="77777777" w:rsidR="007B3312" w:rsidRDefault="007B3312">
      <w:pPr>
        <w:spacing w:after="0" w:line="240" w:lineRule="auto"/>
        <w:rPr>
          <w:rFonts w:ascii="Xunta Sans" w:hAnsi="Xunta Sans" w:cs="Microsoft Tai Le"/>
          <w:sz w:val="21"/>
          <w:szCs w:val="21"/>
          <w:lang w:val="es-ES"/>
        </w:rPr>
      </w:pPr>
      <w:bookmarkStart w:id="0" w:name="_GoBack"/>
      <w:bookmarkEnd w:id="0"/>
    </w:p>
    <w:p w14:paraId="60D76D78" w14:textId="77777777" w:rsidR="007B3312" w:rsidRDefault="007B3312">
      <w:pPr>
        <w:spacing w:after="0" w:line="240" w:lineRule="auto"/>
        <w:rPr>
          <w:rFonts w:ascii="Xunta Sans" w:hAnsi="Xunta Sans" w:cs="CIDFont+F1"/>
          <w:sz w:val="21"/>
          <w:szCs w:val="21"/>
          <w:lang w:val="es-ES"/>
        </w:rPr>
      </w:pPr>
    </w:p>
    <w:p w14:paraId="438F70C1" w14:textId="77777777" w:rsidR="009E0BC0" w:rsidRDefault="009E0BC0">
      <w:pPr>
        <w:spacing w:after="0" w:line="240" w:lineRule="auto"/>
        <w:rPr>
          <w:rFonts w:ascii="Xunta Sans" w:hAnsi="Xunta Sans" w:cs="CIDFont+F1"/>
          <w:sz w:val="21"/>
          <w:szCs w:val="21"/>
          <w:lang w:val="es-ES"/>
        </w:rPr>
      </w:pPr>
    </w:p>
    <w:p w14:paraId="70E585FC" w14:textId="77777777" w:rsidR="007B3312" w:rsidRDefault="007B3312">
      <w:pPr>
        <w:spacing w:after="0" w:line="240" w:lineRule="auto"/>
        <w:rPr>
          <w:rFonts w:ascii="Xunta Sans" w:hAnsi="Xunta Sans" w:cs="CIDFont+F1"/>
          <w:sz w:val="21"/>
          <w:szCs w:val="21"/>
          <w:lang w:val="es-ES"/>
        </w:rPr>
      </w:pPr>
    </w:p>
    <w:p w14:paraId="305207A3" w14:textId="77777777" w:rsidR="007B3312" w:rsidRPr="009E0BC0" w:rsidRDefault="003D215C">
      <w:pPr>
        <w:jc w:val="both"/>
        <w:rPr>
          <w:rFonts w:cstheme="minorHAnsi"/>
        </w:rPr>
      </w:pPr>
      <w:r w:rsidRPr="009E0BC0">
        <w:rPr>
          <w:rFonts w:cstheme="minorHAnsi"/>
        </w:rPr>
        <w:t>Os resultados móstranse na memoria adxunta.</w:t>
      </w:r>
    </w:p>
    <w:p w14:paraId="55FBD20E" w14:textId="77777777" w:rsidR="007B3312" w:rsidRPr="009E0BC0" w:rsidRDefault="003D215C">
      <w:pPr>
        <w:jc w:val="both"/>
        <w:rPr>
          <w:rFonts w:cstheme="minorHAnsi"/>
        </w:rPr>
      </w:pPr>
      <w:r w:rsidRPr="009E0BC0">
        <w:rPr>
          <w:rFonts w:cstheme="minorHAnsi"/>
        </w:rPr>
        <w:t xml:space="preserve">En resumo, establecéronse os niveis de referencia de nutrientes no solo de cada denominación para unha correcta fertilización do viñedo. Por outra banda, constatouse o exceso de fertilización nas DO Ribeira Sacra e </w:t>
      </w:r>
      <w:proofErr w:type="spellStart"/>
      <w:r w:rsidRPr="009E0BC0">
        <w:rPr>
          <w:rFonts w:cstheme="minorHAnsi"/>
        </w:rPr>
        <w:t>Monterrei</w:t>
      </w:r>
      <w:proofErr w:type="spellEnd"/>
      <w:r w:rsidRPr="009E0BC0">
        <w:rPr>
          <w:rFonts w:cstheme="minorHAnsi"/>
        </w:rPr>
        <w:t xml:space="preserve">, así como a necesidade de encalado nas tres DO </w:t>
      </w:r>
      <w:proofErr w:type="spellStart"/>
      <w:r w:rsidRPr="009E0BC0">
        <w:rPr>
          <w:rFonts w:cstheme="minorHAnsi"/>
        </w:rPr>
        <w:t>do</w:t>
      </w:r>
      <w:proofErr w:type="spellEnd"/>
      <w:r w:rsidRPr="009E0BC0">
        <w:rPr>
          <w:rFonts w:cstheme="minorHAnsi"/>
        </w:rPr>
        <w:t xml:space="preserve"> estudo. Por último, todos os resultados se incluíron nunha aplicación informática desenvolvida pola USC, á que terán acceso as adegas implicadas no estudo. Nela indícanse os estados dos solos e as recomendacións para unha fertilización racional.</w:t>
      </w:r>
    </w:p>
    <w:p w14:paraId="38B634C2" w14:textId="77777777" w:rsidR="007B3312" w:rsidRPr="009E0BC0" w:rsidRDefault="007B3312">
      <w:pPr>
        <w:rPr>
          <w:rFonts w:cstheme="minorHAnsi"/>
        </w:rPr>
      </w:pPr>
    </w:p>
    <w:p w14:paraId="4112CFDE" w14:textId="77777777" w:rsidR="007B3312" w:rsidRPr="009E0BC0" w:rsidRDefault="007B3312">
      <w:pPr>
        <w:rPr>
          <w:rFonts w:cstheme="minorHAnsi"/>
        </w:rPr>
      </w:pPr>
    </w:p>
    <w:p w14:paraId="09BD45E1" w14:textId="77777777" w:rsidR="007B3312" w:rsidRPr="009E0BC0" w:rsidRDefault="003D215C">
      <w:pPr>
        <w:rPr>
          <w:rFonts w:cstheme="minorHAnsi"/>
        </w:rPr>
      </w:pPr>
      <w:r w:rsidRPr="009E0BC0">
        <w:rPr>
          <w:rFonts w:cstheme="minorHAnsi"/>
        </w:rPr>
        <w:t xml:space="preserve">Niveis de referencia en solo obtidos na DO </w:t>
      </w:r>
      <w:proofErr w:type="spellStart"/>
      <w:r w:rsidRPr="009E0BC0">
        <w:rPr>
          <w:rFonts w:cstheme="minorHAnsi"/>
        </w:rPr>
        <w:t>Monterrei</w:t>
      </w:r>
      <w:proofErr w:type="spellEnd"/>
      <w:r w:rsidRPr="009E0BC0">
        <w:rPr>
          <w:rFonts w:cstheme="minorHAnsi"/>
        </w:rPr>
        <w:t>, pero que deberían corrixirse:</w:t>
      </w:r>
    </w:p>
    <w:p w14:paraId="3D2E6E21" w14:textId="77777777" w:rsidR="007B3312" w:rsidRDefault="003D215C">
      <w:pPr>
        <w:rPr>
          <w:rFonts w:ascii="Xunta Sans" w:hAnsi="Xunta Sans"/>
          <w:sz w:val="21"/>
          <w:szCs w:val="21"/>
        </w:rPr>
      </w:pPr>
      <w:r>
        <w:rPr>
          <w:noProof/>
        </w:rPr>
        <w:drawing>
          <wp:inline distT="0" distB="0" distL="0" distR="0" wp14:anchorId="10C47A29" wp14:editId="5C8F2C3E">
            <wp:extent cx="5399405" cy="1066800"/>
            <wp:effectExtent l="0" t="0" r="0" b="0"/>
            <wp:docPr id="1" name="Imax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x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617" b="7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B3F7" w14:textId="77777777" w:rsidR="007B3312" w:rsidRDefault="007B3312">
      <w:pPr>
        <w:rPr>
          <w:rFonts w:ascii="Xunta Sans" w:hAnsi="Xunta Sans"/>
          <w:sz w:val="21"/>
          <w:szCs w:val="21"/>
        </w:rPr>
      </w:pPr>
    </w:p>
    <w:p w14:paraId="755BEB9C" w14:textId="77777777" w:rsidR="007B3312" w:rsidRPr="009E0BC0" w:rsidRDefault="007B3312">
      <w:pPr>
        <w:rPr>
          <w:rFonts w:cstheme="minorHAnsi"/>
          <w:sz w:val="21"/>
          <w:szCs w:val="21"/>
        </w:rPr>
      </w:pPr>
    </w:p>
    <w:p w14:paraId="626ABA8D" w14:textId="77777777" w:rsidR="007B3312" w:rsidRPr="009E0BC0" w:rsidRDefault="003D215C">
      <w:pPr>
        <w:rPr>
          <w:rFonts w:cstheme="minorHAnsi"/>
        </w:rPr>
      </w:pPr>
      <w:r w:rsidRPr="009E0BC0">
        <w:rPr>
          <w:rFonts w:cstheme="minorHAnsi"/>
        </w:rPr>
        <w:t>Niveis de referencia en solo obtidos na DO Ribeira Sacra, pero que deberían corrixirse:</w:t>
      </w:r>
    </w:p>
    <w:p w14:paraId="3383AF3B" w14:textId="77777777" w:rsidR="007B3312" w:rsidRDefault="003D215C">
      <w:pPr>
        <w:rPr>
          <w:rFonts w:ascii="Xunta Sans" w:hAnsi="Xunta Sans"/>
          <w:sz w:val="21"/>
          <w:szCs w:val="21"/>
        </w:rPr>
      </w:pPr>
      <w:r>
        <w:rPr>
          <w:rFonts w:ascii="Xunta Sans" w:hAnsi="Xunta Sans"/>
          <w:sz w:val="21"/>
          <w:szCs w:val="21"/>
        </w:rPr>
        <w:t xml:space="preserve">                         </w:t>
      </w:r>
      <w:r>
        <w:rPr>
          <w:noProof/>
        </w:rPr>
        <w:drawing>
          <wp:inline distT="0" distB="0" distL="0" distR="0" wp14:anchorId="7BA12CF2" wp14:editId="71464BBA">
            <wp:extent cx="3971925" cy="1143000"/>
            <wp:effectExtent l="0" t="0" r="0" b="0"/>
            <wp:docPr id="2" name="Imax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x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81" t="45337" r="19559" b="3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3583" w14:textId="77777777" w:rsidR="007B3312" w:rsidRDefault="007B3312">
      <w:pPr>
        <w:rPr>
          <w:rFonts w:ascii="Xunta Sans" w:hAnsi="Xunta Sans" w:cs="Microsoft Tai Le"/>
          <w:sz w:val="21"/>
          <w:szCs w:val="21"/>
        </w:rPr>
      </w:pPr>
    </w:p>
    <w:p w14:paraId="639FBC94" w14:textId="77777777" w:rsidR="007B3312" w:rsidRDefault="007B3312">
      <w:pPr>
        <w:rPr>
          <w:rFonts w:ascii="Xunta Sans" w:hAnsi="Xunta Sans" w:cs="Microsoft Tai Le"/>
          <w:sz w:val="21"/>
          <w:szCs w:val="21"/>
        </w:rPr>
      </w:pPr>
    </w:p>
    <w:p w14:paraId="02125961" w14:textId="77777777" w:rsidR="007B3312" w:rsidRDefault="007B3312">
      <w:pPr>
        <w:rPr>
          <w:rFonts w:ascii="Xunta Sans" w:hAnsi="Xunta Sans" w:cs="Microsoft Tai Le"/>
          <w:sz w:val="21"/>
          <w:szCs w:val="21"/>
        </w:rPr>
      </w:pPr>
    </w:p>
    <w:p w14:paraId="14FB8906" w14:textId="77777777" w:rsidR="007B3312" w:rsidRDefault="007B3312">
      <w:pPr>
        <w:rPr>
          <w:rFonts w:ascii="Xunta Sans" w:hAnsi="Xunta Sans"/>
          <w:sz w:val="21"/>
          <w:szCs w:val="21"/>
        </w:rPr>
      </w:pPr>
    </w:p>
    <w:sectPr w:rsidR="007B3312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CIDFont+F1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312"/>
    <w:rsid w:val="003D215C"/>
    <w:rsid w:val="007B3312"/>
    <w:rsid w:val="009E0BC0"/>
    <w:rsid w:val="00F4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22F45"/>
  <w15:docId w15:val="{C0BB63A6-2DF3-4F02-B9A5-A70F247F7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gl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paragraph" w:styleId="Ttulo">
    <w:name w:val="Title"/>
    <w:basedOn w:val="Normal"/>
    <w:next w:val="Textodocorp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docorpo">
    <w:name w:val="Body Text"/>
    <w:basedOn w:val="Normal"/>
    <w:pPr>
      <w:spacing w:after="140" w:line="276" w:lineRule="auto"/>
    </w:pPr>
  </w:style>
  <w:style w:type="paragraph" w:styleId="Lista">
    <w:name w:val="List"/>
    <w:basedOn w:val="Textodocorpo"/>
    <w:rPr>
      <w:rFonts w:cs="Arial Unicode MS"/>
    </w:rPr>
  </w:style>
  <w:style w:type="paragraph" w:styleId="L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Xunta de Galicia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Guerra Pestonit, Bibiana</dc:creator>
  <dc:description/>
  <cp:lastModifiedBy>Guerra Pestonit, Bibiana</cp:lastModifiedBy>
  <cp:revision>9</cp:revision>
  <cp:lastPrinted>2026-04-22T09:29:00Z</cp:lastPrinted>
  <dcterms:created xsi:type="dcterms:W3CDTF">2026-01-19T12:17:00Z</dcterms:created>
  <dcterms:modified xsi:type="dcterms:W3CDTF">2026-04-22T09:29:00Z</dcterms:modified>
  <dc:language>es-ES</dc:language>
</cp:coreProperties>
</file>